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8" w:right="93" w:hanging="185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opafnldgpkj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8" w:right="93" w:hanging="185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TÍTULO: SUBTÍTULO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3" w:firstLine="148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 (nome completo)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3" w:firstLine="148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 1 (nome completo)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3" w:firstLine="148"/>
        <w:jc w:val="righ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Co-autor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(nome completo)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.666666666666668"/>
          <w:szCs w:val="26.66666666666666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"/>
        </w:tabs>
        <w:spacing w:after="0" w:before="0" w:line="240" w:lineRule="auto"/>
        <w:ind w:left="367" w:right="0" w:hanging="26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6" w:lineRule="auto"/>
        <w:ind w:left="100" w:right="110" w:firstLine="856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Introdução, indicar o tema e o objetivo do resumo, perfazendo uma breve contextualização do assunto.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"/>
        </w:tabs>
        <w:spacing w:after="0" w:before="0" w:line="240" w:lineRule="auto"/>
        <w:ind w:left="367" w:right="0" w:hanging="26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Materiais e métodos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9" w:firstLine="924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materiais e métodos, o(a) autor(a) deve apontar o enfoque do estudo  (qualitativo, quantitativo ou qualiquanti) e o subsídio metodológico.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"/>
        </w:tabs>
        <w:spacing w:after="0" w:before="1" w:line="240" w:lineRule="auto"/>
        <w:ind w:left="368" w:right="0" w:hanging="26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 discussão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7" w:firstLine="708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resultados e discussão, o(a) autor(a) pode discorrer sobre o tema, apresentando a contribuição do seu estudo.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"/>
        </w:tabs>
        <w:spacing w:after="0" w:before="1" w:line="240" w:lineRule="auto"/>
        <w:ind w:left="368" w:right="0" w:hanging="26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362" w:firstLine="852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Nas considerações finais,  o(a) autor(a) sintetiza as contribuições do seu estudo, ficando livre para apontar novos caminhos de pesquisa ou sugestões para a intervenção no assunto estudado.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362" w:firstLine="852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362" w:firstLine="41.99999999999999"/>
        <w:jc w:val="center"/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SOBRENOME, Nome. </w:t>
      </w:r>
      <w:r w:rsidDel="00000000" w:rsidR="00000000" w:rsidRPr="00000000">
        <w:rPr>
          <w:rFonts w:ascii="Arial MT" w:cs="Arial MT" w:eastAsia="Arial MT" w:hAnsi="Arial M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subtítulo. n. da edição, cidade: editora, ano.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EXEMPLO: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105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ANDRAGOGIA E MODIFICABILIDADE COGNITIVA ESTRUTURAL</w:t>
      </w:r>
    </w:p>
    <w:p w:rsidR="00000000" w:rsidDel="00000000" w:rsidP="00000000" w:rsidRDefault="00000000" w:rsidRPr="00000000" w14:paraId="0000002C">
      <w:pPr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Alfons Heinrich Altmicks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right="114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30">
      <w:pPr>
        <w:tabs>
          <w:tab w:val="left" w:leader="none" w:pos="538"/>
        </w:tabs>
        <w:spacing w:before="120" w:lineRule="auto"/>
        <w:ind w:right="102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uma população adulta, cada vez mais, ávida de programas formativos, tradicionais ou diferenciados, reiteradas dúvidas se impõem àqueles que pensam o fazer pedagógico. Grosso modo, são buscadas estratégias pedagógicas, compondo modelos didáticos que visam à melhora da qualidade de vida e à socialização, trazendo, com destaque, as limitações cognitivas e físicas, próprias do envelhecimento. É possível argumentar, no entanto, que se, por um lado, essas estratégias reduzem o aprendizado de adultos às imposições das suas limitações físicas e cognitivas, olvidando quase completamente a sua capacidade de transcendê-las com base na experiência de vida; por outro lado, fixam-se num conceito atávico de “faixa de normalidade de aprendizagem”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tabs>
          <w:tab w:val="left" w:leader="none" w:pos="538"/>
        </w:tabs>
        <w:spacing w:before="120" w:lineRule="auto"/>
        <w:ind w:right="102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escolha da Teoria da Modificabilidade Cognitiva Estrutural, de Reuven Feuerstein, para a análise da questão, orientou-se pela crença original, sustentada pelo autor romeno, de que não há restrições para o desenvolvimento psíquico, psicológico e cognitivo humano. De fato, Feuerstein se posiciona na contramão das predições de “faixa de normalidade de aprendizagem”, desenvolvendo as suas ideias no antagonismo às teorias que supõem a origem biológica ou orgânica dos entraves à aprendizagem. Pelo contrário, em Feuerstein, a aprendizagem ocorre, exatamente, nas interações sociais, proporcionadas aos sujeitos cognitivos. É possível inferir que, através das interações sociais, homens e mulheres adultos elaboram processos de aprendizagem, que são capazes de lhes possibilitar a aquisição de novas competências, por ressignificação de habilidades.</w:t>
      </w:r>
    </w:p>
    <w:p w:rsidR="00000000" w:rsidDel="00000000" w:rsidP="00000000" w:rsidRDefault="00000000" w:rsidRPr="00000000" w14:paraId="00000032">
      <w:pPr>
        <w:ind w:right="114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"/>
        </w:tabs>
        <w:spacing w:after="0" w:before="0" w:line="240" w:lineRule="auto"/>
        <w:ind w:left="9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Materiais e métodos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02" w:right="119" w:firstLine="92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é um estudo de enfoque qualitativo, subsidiado pela análise bibliográfica (MELO, 2020).</w:t>
      </w:r>
    </w:p>
    <w:p w:rsidR="00000000" w:rsidDel="00000000" w:rsidP="00000000" w:rsidRDefault="00000000" w:rsidRPr="00000000" w14:paraId="00000035">
      <w:pPr>
        <w:ind w:right="114"/>
        <w:jc w:val="both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9"/>
        </w:tabs>
        <w:spacing w:after="0" w:before="1" w:line="240" w:lineRule="auto"/>
        <w:ind w:left="367" w:right="0" w:hanging="26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Resultados e discussão</w:t>
      </w:r>
    </w:p>
    <w:p w:rsidR="00000000" w:rsidDel="00000000" w:rsidP="00000000" w:rsidRDefault="00000000" w:rsidRPr="00000000" w14:paraId="00000037">
      <w:pPr>
        <w:tabs>
          <w:tab w:val="left" w:leader="none" w:pos="538"/>
        </w:tabs>
        <w:spacing w:before="120" w:lineRule="auto"/>
        <w:ind w:right="116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acordo com Feuerstein (FEUERSTEIN; RAND; HOFFMAN, 1979), toda proposta de mediação de aprendizagem promove alterações no aparelho psíquico humano. Tais alterações equivalem à formação de uma aptidão, de um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modus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específico de interpretação, de acordo com a qualidade de mediação a que o sujeito é exposto. As mediações de aprendizagem condicionam o aparelho psíquico humano, adestrando a sua sensibilidade, acomodando interações, constituindo o efetivo aprendizado, independente de quaisquer fatores incidentais, inclusa a etapa de maturação do organismo. </w:t>
      </w:r>
    </w:p>
    <w:p w:rsidR="00000000" w:rsidDel="00000000" w:rsidP="00000000" w:rsidRDefault="00000000" w:rsidRPr="00000000" w14:paraId="00000038">
      <w:pPr>
        <w:tabs>
          <w:tab w:val="left" w:leader="none" w:pos="538"/>
        </w:tabs>
        <w:spacing w:before="120" w:lineRule="auto"/>
        <w:ind w:right="116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Dessa maneira, as ideias de Feuerstein (FEUERSTEIN; RAND 1974; FEUERSTEIN; RAND; HOFFMAN, 1979; FEUERSTEIN; KLEIN; TANNENBAUM, 1994) são ancoradas na crença em quatro postulados fundamentais, quais sejam, a ideia de que todo ser humano é, essencialmente, orientado à mudança; a ideia de que a vida humana não apresenta nada irremediavelmente determinado ou finalizado; a ideia de que o ser humano se modifica, à medida em que modifica outros seres humanos; e a ideia de que o ambiente em que vive o ser humano se modifica, em função da modificabilidade individual.</w:t>
      </w:r>
    </w:p>
    <w:p w:rsidR="00000000" w:rsidDel="00000000" w:rsidP="00000000" w:rsidRDefault="00000000" w:rsidRPr="00000000" w14:paraId="00000039">
      <w:pPr>
        <w:tabs>
          <w:tab w:val="left" w:leader="none" w:pos="538"/>
        </w:tabs>
        <w:spacing w:before="120" w:lineRule="auto"/>
        <w:ind w:right="116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se transpor essa lógica para a aprendizagem na Andragogia, imagina-se que as novas realidades vividas, aliadas aos limites impostos pela idade, constituam desafios importantes, a serem superados. Se adultos encontram pessoas dispostas a mediar a superação desses desafios, alcançam condições plenas de aprendizagem, pois são, fundamentalmente, dotados da capacidade de anexar novos conhecimentos e imbricá-los aos anteriormente adquiridos, de maneira a relativizá-los em função das suas limitações ou das novas realidades experimentadas. Nesse sentido, a capacidade adaptativa da inteligência humana é inesgotável.</w:t>
      </w:r>
    </w:p>
    <w:p w:rsidR="00000000" w:rsidDel="00000000" w:rsidP="00000000" w:rsidRDefault="00000000" w:rsidRPr="00000000" w14:paraId="0000003A">
      <w:pPr>
        <w:tabs>
          <w:tab w:val="left" w:leader="none" w:pos="538"/>
        </w:tabs>
        <w:spacing w:before="120" w:lineRule="auto"/>
        <w:ind w:right="116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síntese, a Experiência de Aprendizagem Mediada configura uma proposta multidisciplinar, que visa à consecução da Modificabilidade Cognitiva Estrutural do aprendente, sem se eximir de transformar, igualmente, o mediador. O seu fundamento é a autonomia do aprendente, o que a torna excepcionalmente vantajosa no trato pedagógico de adultos. A Experiência de Aprendizagem Mediada implica um conjunto de determinantes pedagógicos, que proporciona, aos aprendentes adultos, os dispositivos que os possibilitam reorientar as suas funções cognitivas, garantir-lhes a possibilidade de apreender, plenamente, novas competências, por ressignificação de habilidades.</w:t>
      </w:r>
    </w:p>
    <w:p w:rsidR="00000000" w:rsidDel="00000000" w:rsidP="00000000" w:rsidRDefault="00000000" w:rsidRPr="00000000" w14:paraId="0000003B">
      <w:pPr>
        <w:spacing w:before="200" w:lineRule="auto"/>
        <w:ind w:right="114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Considerações finais </w:t>
      </w:r>
    </w:p>
    <w:p w:rsidR="00000000" w:rsidDel="00000000" w:rsidP="00000000" w:rsidRDefault="00000000" w:rsidRPr="00000000" w14:paraId="0000003C">
      <w:pPr>
        <w:spacing w:before="120" w:lineRule="auto"/>
        <w:ind w:right="114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Adultos apresentam, naturalmente, inclinação para a aprendizagem, especialmente, partindo das suas experiências acumuladas. Objetivamente, eles precisam resignificar a realidade, diante das transformações que minam as suas referências existenciais. Nesse processo, são plenamente capazes de obter sucesso, a despeito das suas limitações obvias e, sobretudo, dos enormes preconceitos que cercam a maturidade.</w:t>
      </w:r>
    </w:p>
    <w:p w:rsidR="00000000" w:rsidDel="00000000" w:rsidP="00000000" w:rsidRDefault="00000000" w:rsidRPr="00000000" w14:paraId="0000003D">
      <w:pPr>
        <w:spacing w:before="120" w:lineRule="auto"/>
        <w:ind w:right="114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prática, o uso da Modificabilidade Cognitiva Estrutural, de Reuven Feuerstein, para compor uma teoria andragógica, deve levar em conta três orientações fundamentais: pessoas adultas possuem autodeterminação e são responsáveis por suas decisões; pessoas adultas necessitam instrumentalizar os seus conhecimentos, direcionando-os a objetivos factíveis; pessoas adultas aprendem a partir da interação, adquirindo a oportunidade de co-construir os seus próprios processos formativos. Por tudo isso, uma Pedagogia para adulto precisa, necessariamente, enfatizar processos, sem se ocupar demasiadamente de conteúdos.</w:t>
      </w:r>
    </w:p>
    <w:p w:rsidR="00000000" w:rsidDel="00000000" w:rsidP="00000000" w:rsidRDefault="00000000" w:rsidRPr="00000000" w14:paraId="0000003E">
      <w:pPr>
        <w:spacing w:before="120" w:lineRule="auto"/>
        <w:ind w:right="114"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00" w:lineRule="auto"/>
        <w:ind w:right="114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40">
      <w:pPr>
        <w:spacing w:after="120" w:before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FEUERSTEIN, R.; RAND, Y.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Mediated learning experience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 outline of the proximal etiology for differential development of cognitive functions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Baltimore: University Park Press, 1974.</w:t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FEUERSTEIN, R; RAND, Y.; HOFFMAN, M.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The dynamic assessment of retardet performance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the learning assessment aevice, theory, tnstruments and techniques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Glenview: Scott Foresman &amp; Company, 1979.</w:t>
      </w:r>
    </w:p>
    <w:p w:rsidR="00000000" w:rsidDel="00000000" w:rsidP="00000000" w:rsidRDefault="00000000" w:rsidRPr="00000000" w14:paraId="00000042">
      <w:pPr>
        <w:spacing w:after="200" w:before="200" w:lineRule="auto"/>
        <w:ind w:right="10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FEUERSTEIN, R.; KLEIN, P. S.; TANNENBAUM, A. J.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Mediated learning experience (MLE)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: theoretical, psychosocial and learning implications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London: Freund, 1994.</w:t>
      </w:r>
    </w:p>
    <w:p w:rsidR="00000000" w:rsidDel="00000000" w:rsidP="00000000" w:rsidRDefault="00000000" w:rsidRPr="00000000" w14:paraId="00000043">
      <w:pPr>
        <w:spacing w:after="200" w:before="200" w:lineRule="auto"/>
        <w:ind w:right="10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MELO, André Luiz.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Metodologia da pesquisa em Educação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Recife: Maná, 2020.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1240" w:top="2160" w:left="1600" w:right="1020" w:header="32" w:footer="9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Resumo da formação. E-mail.</w:t>
      </w:r>
    </w:p>
  </w:footnote>
  <w:footnote w:id="1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Resumo da formação. E-mail.</w:t>
      </w:r>
    </w:p>
  </w:footnote>
  <w:footnote w:id="2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Resumo da formação. E-mail.</w:t>
      </w:r>
    </w:p>
  </w:footnote>
  <w:footnote w:id="3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Mestre em Educação (UCSCar). Mestre em Planejamento Territorial e Desenvolvimento Social (UCSAL). Doutorando em Análise Cognitiva (PPGDC-UNEB). E-mail: altmicks@gmail.com</w:t>
      </w:r>
    </w:p>
  </w:footnote>
  <w:footnote w:id="4"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 efeito, até as últimas décadas do século XX, as teorias pedagógicas supunham padrões de normalidade no desenvolvimento físico e cognitivo humano. O problema é que estas categorias de desenvolvimento, consideradas “normais”, não coincidem com a infinita capacidade humana de superá-las, reiteradamente, surpreendendo educadores e psicólogos.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996966" cy="90487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2" l="0" r="0" t="142"/>
                  <a:stretch>
                    <a:fillRect/>
                  </a:stretch>
                </pic:blipFill>
                <pic:spPr>
                  <a:xfrm>
                    <a:off x="0" y="0"/>
                    <a:ext cx="1996966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3343600</wp:posOffset>
          </wp:positionH>
          <wp:positionV relativeFrom="paragraph">
            <wp:posOffset>195263</wp:posOffset>
          </wp:positionV>
          <wp:extent cx="2554287" cy="909326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4287" cy="9093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7" w:hanging="268"/>
      </w:pPr>
      <w:rPr>
        <w:rFonts w:ascii="Arial" w:cs="Arial" w:eastAsia="Arial" w:hAnsi="Arial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1252" w:hanging="268"/>
      </w:pPr>
      <w:rPr/>
    </w:lvl>
    <w:lvl w:ilvl="2">
      <w:start w:val="0"/>
      <w:numFmt w:val="bullet"/>
      <w:lvlText w:val="•"/>
      <w:lvlJc w:val="left"/>
      <w:pPr>
        <w:ind w:left="2145" w:hanging="268"/>
      </w:pPr>
      <w:rPr/>
    </w:lvl>
    <w:lvl w:ilvl="3">
      <w:start w:val="0"/>
      <w:numFmt w:val="bullet"/>
      <w:lvlText w:val="•"/>
      <w:lvlJc w:val="left"/>
      <w:pPr>
        <w:ind w:left="3038" w:hanging="268"/>
      </w:pPr>
      <w:rPr/>
    </w:lvl>
    <w:lvl w:ilvl="4">
      <w:start w:val="0"/>
      <w:numFmt w:val="bullet"/>
      <w:lvlText w:val="•"/>
      <w:lvlJc w:val="left"/>
      <w:pPr>
        <w:ind w:left="3931" w:hanging="268"/>
      </w:pPr>
      <w:rPr/>
    </w:lvl>
    <w:lvl w:ilvl="5">
      <w:start w:val="0"/>
      <w:numFmt w:val="bullet"/>
      <w:lvlText w:val="•"/>
      <w:lvlJc w:val="left"/>
      <w:pPr>
        <w:ind w:left="4824" w:hanging="268"/>
      </w:pPr>
      <w:rPr/>
    </w:lvl>
    <w:lvl w:ilvl="6">
      <w:start w:val="0"/>
      <w:numFmt w:val="bullet"/>
      <w:lvlText w:val="•"/>
      <w:lvlJc w:val="left"/>
      <w:pPr>
        <w:ind w:left="5716" w:hanging="267.9999999999991"/>
      </w:pPr>
      <w:rPr/>
    </w:lvl>
    <w:lvl w:ilvl="7">
      <w:start w:val="0"/>
      <w:numFmt w:val="bullet"/>
      <w:lvlText w:val="•"/>
      <w:lvlJc w:val="left"/>
      <w:pPr>
        <w:ind w:left="6609" w:hanging="268"/>
      </w:pPr>
      <w:rPr/>
    </w:lvl>
    <w:lvl w:ilvl="8">
      <w:start w:val="0"/>
      <w:numFmt w:val="bullet"/>
      <w:lvlText w:val="•"/>
      <w:lvlJc w:val="left"/>
      <w:pPr>
        <w:ind w:left="7502" w:hanging="267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7" w:hanging="268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7" w:hanging="268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pt-PT"/>
    </w:rPr>
  </w:style>
  <w:style w:type="paragraph" w:styleId="Ttulo1">
    <w:name w:val="heading 1"/>
    <w:basedOn w:val="Normal"/>
    <w:uiPriority w:val="1"/>
    <w:qFormat w:val="1"/>
    <w:pPr>
      <w:ind w:left="367" w:hanging="268"/>
      <w:outlineLvl w:val="0"/>
    </w:pPr>
    <w:rPr>
      <w:rFonts w:ascii="Arial" w:cs="Arial" w:eastAsia="Arial" w:hAnsi="Arial"/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367" w:hanging="268"/>
    </w:pPr>
    <w:rPr>
      <w:rFonts w:ascii="Arial" w:cs="Arial" w:eastAsia="Arial" w:hAnsi="Arial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1244F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44F9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1244F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44F9"/>
    <w:rPr>
      <w:rFonts w:ascii="Arial MT" w:cs="Arial MT" w:eastAsia="Arial MT" w:hAnsi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490FA9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490FA9"/>
    <w:rPr>
      <w:rFonts w:ascii="Arial MT" w:cs="Arial MT" w:eastAsia="Arial MT" w:hAnsi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90FA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dVrSUaSy4oJY5dE/zxKKykXf4A==">CgMxLjAyDmgub3BhZm5sZGdwa2piMghoLmdqZGd4czIJaC4zMGowemxsOAByITFXXzlGY3BMcjd6Y3FIMW5EU0tXMVk5dXZDdDVqRW1jNQ==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2023-03-14T14:03:00Z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